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75" w:rsidRPr="00754875" w:rsidRDefault="00754875" w:rsidP="00754875">
      <w:pPr>
        <w:outlineLvl w:val="0"/>
        <w:rPr>
          <w:rFonts w:ascii="Georgia" w:eastAsia="Times New Roman" w:hAnsi="Georgia" w:cs="Times New Roman"/>
          <w:b/>
          <w:bCs/>
          <w:color w:val="585858"/>
          <w:kern w:val="36"/>
          <w:sz w:val="58"/>
          <w:szCs w:val="58"/>
        </w:rPr>
      </w:pPr>
      <w:r w:rsidRPr="00754875">
        <w:rPr>
          <w:rFonts w:ascii="Georgia" w:eastAsia="Times New Roman" w:hAnsi="Georgia" w:cs="Times New Roman"/>
          <w:b/>
          <w:bCs/>
          <w:color w:val="585858"/>
          <w:kern w:val="36"/>
          <w:sz w:val="58"/>
          <w:szCs w:val="58"/>
        </w:rPr>
        <w:t>The 6 Ways of Influence</w:t>
      </w:r>
    </w:p>
    <w:p w:rsidR="00754875" w:rsidRPr="00754875" w:rsidRDefault="00754875" w:rsidP="00754875">
      <w:pPr>
        <w:rPr>
          <w:rFonts w:ascii="Arial" w:eastAsia="Times New Roman" w:hAnsi="Arial" w:cs="Arial"/>
          <w:color w:val="4C4D50"/>
          <w:szCs w:val="23"/>
        </w:rPr>
      </w:pPr>
      <w:r w:rsidRPr="00754875">
        <w:rPr>
          <w:rFonts w:ascii="Arial" w:eastAsia="Times New Roman" w:hAnsi="Arial" w:cs="Arial"/>
          <w:color w:val="4C4D50"/>
          <w:szCs w:val="23"/>
        </w:rPr>
        <w:t>Posted April 3, 2018 by </w:t>
      </w:r>
      <w:hyperlink r:id="rId5" w:tooltip="Posts by Nick Maggiulli" w:history="1">
        <w:r w:rsidRPr="00754875">
          <w:rPr>
            <w:rFonts w:ascii="Arial" w:eastAsia="Times New Roman" w:hAnsi="Arial" w:cs="Arial"/>
            <w:color w:val="585858"/>
            <w:szCs w:val="23"/>
          </w:rPr>
          <w:t xml:space="preserve">Nick </w:t>
        </w:r>
        <w:proofErr w:type="spellStart"/>
        <w:r w:rsidRPr="00754875">
          <w:rPr>
            <w:rFonts w:ascii="Arial" w:eastAsia="Times New Roman" w:hAnsi="Arial" w:cs="Arial"/>
            <w:color w:val="585858"/>
            <w:szCs w:val="23"/>
          </w:rPr>
          <w:t>Maggiulli</w:t>
        </w:r>
        <w:proofErr w:type="spellEnd"/>
      </w:hyperlink>
    </w:p>
    <w:p w:rsidR="00754875" w:rsidRPr="00754875" w:rsidRDefault="00754875" w:rsidP="00754875">
      <w:pPr>
        <w:spacing w:before="240" w:after="150" w:line="240" w:lineRule="atLeast"/>
        <w:jc w:val="left"/>
        <w:outlineLvl w:val="1"/>
        <w:rPr>
          <w:rFonts w:ascii="Georgia" w:eastAsia="Times New Roman" w:hAnsi="Georgia" w:cs="Times New Roman"/>
          <w:b/>
          <w:bCs/>
          <w:color w:val="585858"/>
          <w:sz w:val="40"/>
          <w:szCs w:val="43"/>
        </w:rPr>
      </w:pPr>
      <w:r w:rsidRPr="00754875">
        <w:rPr>
          <w:rFonts w:ascii="Times New Roman" w:eastAsia="Times New Roman" w:hAnsi="Times New Roman" w:cs="Times New Roman"/>
          <w:noProof/>
          <w:szCs w:val="24"/>
        </w:rPr>
        <w:drawing>
          <wp:anchor distT="0" distB="0" distL="114300" distR="114300" simplePos="0" relativeHeight="251658240" behindDoc="0" locked="0" layoutInCell="1" allowOverlap="1" wp14:anchorId="5CFF071D" wp14:editId="3EC0C5C4">
            <wp:simplePos x="0" y="0"/>
            <wp:positionH relativeFrom="column">
              <wp:posOffset>4752975</wp:posOffset>
            </wp:positionH>
            <wp:positionV relativeFrom="paragraph">
              <wp:posOffset>582930</wp:posOffset>
            </wp:positionV>
            <wp:extent cx="1998345" cy="3044190"/>
            <wp:effectExtent l="0" t="0" r="1905" b="3810"/>
            <wp:wrapSquare wrapText="bothSides"/>
            <wp:docPr id="1" name="Picture 1" descr="http://ofdollarsanddata.com/wp-content/uploads/2018/06/d210a-1_wgys-2qzlykz-mlwir7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fdollarsanddata.com/wp-content/uploads/2018/06/d210a-1_wgys-2qzlykz-mlwir7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8345" cy="304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875">
        <w:rPr>
          <w:rFonts w:ascii="Georgia" w:eastAsia="Times New Roman" w:hAnsi="Georgia" w:cs="Times New Roman"/>
          <w:b/>
          <w:bCs/>
          <w:color w:val="585858"/>
          <w:sz w:val="40"/>
          <w:szCs w:val="43"/>
        </w:rPr>
        <w:t>On Recognizing and Preventing Financial Trickery</w:t>
      </w:r>
    </w:p>
    <w:p w:rsidR="00754875" w:rsidRPr="00754875" w:rsidRDefault="00754875" w:rsidP="00754875">
      <w:pPr>
        <w:jc w:val="left"/>
        <w:rPr>
          <w:rFonts w:ascii="Times New Roman" w:eastAsia="Times New Roman" w:hAnsi="Times New Roman" w:cs="Times New Roman"/>
          <w:szCs w:val="24"/>
        </w:rPr>
      </w:pPr>
      <w:r w:rsidRPr="00754875">
        <w:rPr>
          <w:rFonts w:ascii="Times New Roman" w:eastAsia="Times New Roman" w:hAnsi="Times New Roman" w:cs="Times New Roman"/>
          <w:szCs w:val="24"/>
        </w:rPr>
        <w:t xml:space="preserve">One of the best books I have ever read concerning human behavior </w:t>
      </w:r>
      <w:r w:rsidRPr="00754875">
        <w:rPr>
          <w:rFonts w:ascii="Times New Roman" w:eastAsia="Times New Roman" w:hAnsi="Times New Roman" w:cs="Times New Roman"/>
          <w:color w:val="000000" w:themeColor="text1"/>
          <w:szCs w:val="24"/>
        </w:rPr>
        <w:t>is </w:t>
      </w:r>
      <w:hyperlink r:id="rId7" w:history="1">
        <w:r w:rsidRPr="00754875">
          <w:rPr>
            <w:rFonts w:ascii="Times New Roman" w:eastAsia="Times New Roman" w:hAnsi="Times New Roman" w:cs="Times New Roman"/>
            <w:color w:val="000000" w:themeColor="text1"/>
            <w:szCs w:val="24"/>
          </w:rPr>
          <w:t>Influence:  The Psychology of Persuasion</w:t>
        </w:r>
      </w:hyperlink>
      <w:r w:rsidRPr="00754875">
        <w:rPr>
          <w:rFonts w:ascii="Times New Roman" w:eastAsia="Times New Roman" w:hAnsi="Times New Roman" w:cs="Times New Roman"/>
          <w:color w:val="000000" w:themeColor="text1"/>
          <w:szCs w:val="24"/>
        </w:rPr>
        <w:t xml:space="preserve"> by Robert </w:t>
      </w:r>
      <w:proofErr w:type="spellStart"/>
      <w:r w:rsidRPr="00754875">
        <w:rPr>
          <w:rFonts w:ascii="Times New Roman" w:eastAsia="Times New Roman" w:hAnsi="Times New Roman" w:cs="Times New Roman"/>
          <w:color w:val="000000" w:themeColor="text1"/>
          <w:szCs w:val="24"/>
        </w:rPr>
        <w:t>Cialdini</w:t>
      </w:r>
      <w:proofErr w:type="spellEnd"/>
      <w:r w:rsidRPr="00754875">
        <w:rPr>
          <w:rFonts w:ascii="Times New Roman" w:eastAsia="Times New Roman" w:hAnsi="Times New Roman" w:cs="Times New Roman"/>
          <w:color w:val="000000" w:themeColor="text1"/>
          <w:szCs w:val="24"/>
        </w:rPr>
        <w:t>.</w:t>
      </w:r>
      <w:r w:rsidRPr="00754875">
        <w:rPr>
          <w:rFonts w:ascii="Times New Roman" w:eastAsia="Times New Roman" w:hAnsi="Times New Roman" w:cs="Times New Roman"/>
          <w:color w:val="000000" w:themeColor="text1"/>
          <w:szCs w:val="24"/>
          <w:u w:val="single"/>
        </w:rPr>
        <w:t xml:space="preserve"> </w:t>
      </w:r>
      <w:r w:rsidRPr="00754875">
        <w:rPr>
          <w:rFonts w:ascii="Times New Roman" w:eastAsia="Times New Roman" w:hAnsi="Times New Roman" w:cs="Times New Roman"/>
          <w:color w:val="000000" w:themeColor="text1"/>
          <w:szCs w:val="24"/>
        </w:rPr>
        <w:t xml:space="preserve">In the opening chapter, </w:t>
      </w:r>
      <w:proofErr w:type="spellStart"/>
      <w:r w:rsidRPr="00754875">
        <w:rPr>
          <w:rFonts w:ascii="Times New Roman" w:eastAsia="Times New Roman" w:hAnsi="Times New Roman" w:cs="Times New Roman"/>
          <w:color w:val="000000" w:themeColor="text1"/>
          <w:szCs w:val="24"/>
        </w:rPr>
        <w:t>Cialdini</w:t>
      </w:r>
      <w:proofErr w:type="spellEnd"/>
      <w:r w:rsidRPr="00754875">
        <w:rPr>
          <w:rFonts w:ascii="Times New Roman" w:eastAsia="Times New Roman" w:hAnsi="Times New Roman" w:cs="Times New Roman"/>
          <w:color w:val="000000" w:themeColor="text1"/>
          <w:szCs w:val="24"/>
        </w:rPr>
        <w:t xml:space="preserve"> describes a peculiar trait about mother </w:t>
      </w:r>
      <w:proofErr w:type="gramStart"/>
      <w:r w:rsidRPr="00754875">
        <w:rPr>
          <w:rFonts w:ascii="Times New Roman" w:eastAsia="Times New Roman" w:hAnsi="Times New Roman" w:cs="Times New Roman"/>
          <w:color w:val="000000" w:themeColor="text1"/>
          <w:szCs w:val="24"/>
        </w:rPr>
        <w:t xml:space="preserve">turkeys </w:t>
      </w:r>
      <w:r w:rsidRPr="00754875">
        <w:rPr>
          <w:rFonts w:ascii="Times New Roman" w:eastAsia="Times New Roman" w:hAnsi="Times New Roman" w:cs="Times New Roman"/>
          <w:szCs w:val="24"/>
        </w:rPr>
        <w:t>that has</w:t>
      </w:r>
      <w:proofErr w:type="gramEnd"/>
      <w:r w:rsidRPr="00754875">
        <w:rPr>
          <w:rFonts w:ascii="Times New Roman" w:eastAsia="Times New Roman" w:hAnsi="Times New Roman" w:cs="Times New Roman"/>
          <w:szCs w:val="24"/>
        </w:rPr>
        <w:t xml:space="preserve"> an interesting parallel to how humans behave:</w:t>
      </w:r>
    </w:p>
    <w:p w:rsidR="00754875" w:rsidRPr="00754875" w:rsidRDefault="00754875" w:rsidP="00754875">
      <w:pPr>
        <w:ind w:left="360"/>
        <w:jc w:val="left"/>
        <w:rPr>
          <w:rFonts w:ascii="Times New Roman" w:eastAsia="Times New Roman" w:hAnsi="Times New Roman" w:cs="Times New Roman"/>
          <w:i/>
          <w:iCs/>
          <w:szCs w:val="24"/>
        </w:rPr>
      </w:pPr>
      <w:r w:rsidRPr="00754875">
        <w:rPr>
          <w:rFonts w:ascii="Times New Roman" w:eastAsia="Times New Roman" w:hAnsi="Times New Roman" w:cs="Times New Roman"/>
          <w:i/>
          <w:iCs/>
          <w:szCs w:val="24"/>
        </w:rPr>
        <w:t>Turkey mothers are good mothers — loving, watchful, and protective. They spend much of their time tending, warming, cleaning, and huddling the young beneath them. But there is something odd about their method. Virtually all of this mothering is triggered by one thing: the “cheep-cheep” sound of young turkey chicks. Other identifying features of the chicks, such as their smell, touch, or appearance seem to play minor roles in the mothering process. If a chick makes the “cheep-cheep” noise, its mother will care for it; if not, the mother will ignore or sometimes kill it.</w:t>
      </w:r>
    </w:p>
    <w:p w:rsidR="00754875" w:rsidRPr="00754875" w:rsidRDefault="00754875" w:rsidP="00754875">
      <w:pPr>
        <w:jc w:val="left"/>
        <w:rPr>
          <w:rFonts w:ascii="Times New Roman" w:eastAsia="Times New Roman" w:hAnsi="Times New Roman" w:cs="Times New Roman"/>
          <w:szCs w:val="24"/>
        </w:rPr>
      </w:pPr>
      <w:proofErr w:type="spellStart"/>
      <w:r w:rsidRPr="00754875">
        <w:rPr>
          <w:rFonts w:ascii="Times New Roman" w:eastAsia="Times New Roman" w:hAnsi="Times New Roman" w:cs="Times New Roman"/>
          <w:szCs w:val="24"/>
        </w:rPr>
        <w:t>Cialdini</w:t>
      </w:r>
      <w:proofErr w:type="spellEnd"/>
      <w:r w:rsidRPr="00754875">
        <w:rPr>
          <w:rFonts w:ascii="Times New Roman" w:eastAsia="Times New Roman" w:hAnsi="Times New Roman" w:cs="Times New Roman"/>
          <w:szCs w:val="24"/>
        </w:rPr>
        <w:t xml:space="preserve"> goes on to describe how mother turkeys will even care for fake stuffed polecats (natural enemies of the turkey) as long as the fake polecat makes the “cheep-cheep” sound.</w:t>
      </w:r>
    </w:p>
    <w:p w:rsidR="00754875" w:rsidRPr="00754875" w:rsidRDefault="00754875" w:rsidP="00754875">
      <w:pPr>
        <w:jc w:val="left"/>
        <w:rPr>
          <w:rFonts w:ascii="Times New Roman" w:eastAsia="Times New Roman" w:hAnsi="Times New Roman" w:cs="Times New Roman"/>
          <w:sz w:val="8"/>
          <w:szCs w:val="10"/>
        </w:rPr>
      </w:pPr>
    </w:p>
    <w:p w:rsidR="00754875" w:rsidRPr="00754875" w:rsidRDefault="00754875" w:rsidP="00754875">
      <w:pPr>
        <w:jc w:val="left"/>
        <w:rPr>
          <w:rFonts w:ascii="Times New Roman" w:eastAsia="Times New Roman" w:hAnsi="Times New Roman" w:cs="Times New Roman"/>
          <w:szCs w:val="24"/>
        </w:rPr>
      </w:pPr>
      <w:r w:rsidRPr="00754875">
        <w:rPr>
          <w:rFonts w:ascii="Times New Roman" w:eastAsia="Times New Roman" w:hAnsi="Times New Roman" w:cs="Times New Roman"/>
          <w:noProof/>
          <w:szCs w:val="24"/>
        </w:rPr>
        <mc:AlternateContent>
          <mc:Choice Requires="wps">
            <w:drawing>
              <wp:anchor distT="0" distB="0" distL="114300" distR="114300" simplePos="0" relativeHeight="251659264" behindDoc="0" locked="0" layoutInCell="1" allowOverlap="1" wp14:anchorId="4EBED931" wp14:editId="0A9F1C5F">
                <wp:simplePos x="0" y="0"/>
                <wp:positionH relativeFrom="column">
                  <wp:posOffset>4872990</wp:posOffset>
                </wp:positionH>
                <wp:positionV relativeFrom="paragraph">
                  <wp:posOffset>584835</wp:posOffset>
                </wp:positionV>
                <wp:extent cx="1793875" cy="31877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179387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875" w:rsidRPr="00754875" w:rsidRDefault="00754875" w:rsidP="00754875">
                            <w:pPr>
                              <w:rPr>
                                <w:rFonts w:ascii="Arial" w:eastAsia="Times New Roman" w:hAnsi="Arial" w:cs="Arial"/>
                                <w:sz w:val="20"/>
                                <w:szCs w:val="24"/>
                              </w:rPr>
                            </w:pPr>
                            <w:r w:rsidRPr="00754875">
                              <w:rPr>
                                <w:rFonts w:ascii="Times New Roman" w:eastAsia="Times New Roman" w:hAnsi="Times New Roman" w:cs="Times New Roman"/>
                                <w:sz w:val="20"/>
                                <w:szCs w:val="24"/>
                              </w:rPr>
                              <w:t xml:space="preserve"> </w:t>
                            </w:r>
                            <w:r w:rsidRPr="00754875">
                              <w:rPr>
                                <w:rFonts w:ascii="Arial" w:eastAsia="Times New Roman" w:hAnsi="Arial" w:cs="Arial"/>
                                <w:sz w:val="16"/>
                                <w:szCs w:val="24"/>
                              </w:rPr>
                              <w:t>(Photo: Wikimedia Commons)</w:t>
                            </w:r>
                          </w:p>
                          <w:p w:rsidR="00754875" w:rsidRPr="00754875" w:rsidRDefault="00754875" w:rsidP="0075487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7pt;margin-top:46.05pt;width:141.2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" filled="f" stroked="f" strokeweight=".5pt">
                <v:textbox>
                  <w:txbxContent>
                    <w:p w:rsidR="00754875" w:rsidRPr="00754875" w:rsidRDefault="00754875" w:rsidP="00754875">
                      <w:pPr>
                        <w:rPr>
                          <w:rFonts w:ascii="Arial" w:eastAsia="Times New Roman" w:hAnsi="Arial" w:cs="Arial"/>
                          <w:sz w:val="20"/>
                          <w:szCs w:val="24"/>
                        </w:rPr>
                      </w:pPr>
                      <w:r w:rsidRPr="00754875">
                        <w:rPr>
                          <w:rFonts w:ascii="Times New Roman" w:eastAsia="Times New Roman" w:hAnsi="Times New Roman" w:cs="Times New Roman"/>
                          <w:sz w:val="20"/>
                          <w:szCs w:val="24"/>
                        </w:rPr>
                        <w:t xml:space="preserve"> </w:t>
                      </w:r>
                      <w:r w:rsidRPr="00754875">
                        <w:rPr>
                          <w:rFonts w:ascii="Arial" w:eastAsia="Times New Roman" w:hAnsi="Arial" w:cs="Arial"/>
                          <w:sz w:val="16"/>
                          <w:szCs w:val="24"/>
                        </w:rPr>
                        <w:t>(Photo: Wikimedia Commons)</w:t>
                      </w:r>
                    </w:p>
                    <w:p w:rsidR="00754875" w:rsidRPr="00754875" w:rsidRDefault="00754875" w:rsidP="00754875">
                      <w:pPr>
                        <w:rPr>
                          <w:sz w:val="18"/>
                        </w:rPr>
                      </w:pPr>
                    </w:p>
                  </w:txbxContent>
                </v:textbox>
                <w10:wrap type="square"/>
              </v:shape>
            </w:pict>
          </mc:Fallback>
        </mc:AlternateContent>
      </w:r>
      <w:r w:rsidRPr="00754875">
        <w:rPr>
          <w:rFonts w:ascii="Times New Roman" w:eastAsia="Times New Roman" w:hAnsi="Times New Roman" w:cs="Times New Roman"/>
          <w:szCs w:val="24"/>
        </w:rPr>
        <w:t xml:space="preserve">You might laugh at how easily we can trick animals based on exploiting their use of simple signals, but as humans we aren’t that different. Yes, our signals for processing information are more complex, but </w:t>
      </w:r>
      <w:proofErr w:type="spellStart"/>
      <w:r w:rsidRPr="00754875">
        <w:rPr>
          <w:rFonts w:ascii="Times New Roman" w:eastAsia="Times New Roman" w:hAnsi="Times New Roman" w:cs="Times New Roman"/>
          <w:szCs w:val="24"/>
        </w:rPr>
        <w:t>Cialdini</w:t>
      </w:r>
      <w:proofErr w:type="spellEnd"/>
      <w:r w:rsidRPr="00754875">
        <w:rPr>
          <w:rFonts w:ascii="Times New Roman" w:eastAsia="Times New Roman" w:hAnsi="Times New Roman" w:cs="Times New Roman"/>
          <w:szCs w:val="24"/>
        </w:rPr>
        <w:t xml:space="preserve"> illustrates how a handful of simple tricks (6 to be exact) can be used to influence us all. Today, I plan to discuss how those 6 ways of influence show up in the financial world and how you can prevent yourself from falling for such trickery. So let’s begin:</w:t>
      </w:r>
    </w:p>
    <w:p w:rsidR="00754875" w:rsidRPr="00754875" w:rsidRDefault="00754875" w:rsidP="00754875">
      <w:pPr>
        <w:spacing w:before="240" w:after="150" w:line="240" w:lineRule="atLeast"/>
        <w:jc w:val="left"/>
        <w:outlineLvl w:val="2"/>
        <w:rPr>
          <w:rFonts w:ascii="Georgia" w:eastAsia="Times New Roman" w:hAnsi="Georgia" w:cs="Times New Roman"/>
          <w:b/>
          <w:bCs/>
          <w:color w:val="585858"/>
          <w:sz w:val="36"/>
          <w:szCs w:val="36"/>
        </w:rPr>
      </w:pPr>
      <w:r w:rsidRPr="00754875">
        <w:rPr>
          <w:rFonts w:ascii="Georgia" w:eastAsia="Times New Roman" w:hAnsi="Georgia" w:cs="Times New Roman"/>
          <w:b/>
          <w:bCs/>
          <w:color w:val="000000"/>
          <w:sz w:val="40"/>
          <w:szCs w:val="40"/>
        </w:rPr>
        <w:t>1. Authority</w:t>
      </w:r>
      <w:bookmarkStart w:id="0" w:name="_GoBack"/>
      <w:bookmarkEnd w:id="0"/>
    </w:p>
    <w:p w:rsidR="00754875" w:rsidRPr="00754875" w:rsidRDefault="00754875" w:rsidP="00754875">
      <w:pPr>
        <w:jc w:val="left"/>
        <w:rPr>
          <w:rFonts w:ascii="Times New Roman" w:eastAsia="Times New Roman" w:hAnsi="Times New Roman" w:cs="Times New Roman"/>
          <w:i/>
          <w:iCs/>
          <w:color w:val="000000" w:themeColor="text1"/>
          <w:sz w:val="24"/>
          <w:szCs w:val="24"/>
        </w:rPr>
      </w:pPr>
      <w:r w:rsidRPr="00754875">
        <w:rPr>
          <w:rFonts w:ascii="Times New Roman" w:eastAsia="Times New Roman" w:hAnsi="Times New Roman" w:cs="Times New Roman"/>
          <w:i/>
          <w:iCs/>
          <w:color w:val="000000" w:themeColor="text1"/>
          <w:sz w:val="24"/>
          <w:szCs w:val="24"/>
        </w:rPr>
        <w:t>Trust me, I’m an expert.</w:t>
      </w:r>
    </w:p>
    <w:p w:rsidR="00754875" w:rsidRPr="00754875" w:rsidRDefault="00754875" w:rsidP="00754875">
      <w:pPr>
        <w:jc w:val="left"/>
        <w:rPr>
          <w:rFonts w:ascii="Times New Roman" w:eastAsia="Times New Roman" w:hAnsi="Times New Roman" w:cs="Times New Roman"/>
          <w:color w:val="000000" w:themeColor="text1"/>
          <w:szCs w:val="24"/>
        </w:rPr>
      </w:pPr>
      <w:r w:rsidRPr="00754875">
        <w:rPr>
          <w:rFonts w:ascii="Times New Roman" w:eastAsia="Times New Roman" w:hAnsi="Times New Roman" w:cs="Times New Roman"/>
          <w:color w:val="000000" w:themeColor="text1"/>
          <w:szCs w:val="24"/>
        </w:rPr>
        <w:t>This phrase has probably done more damage to investors than just about any other in all of market history. Don’t believe me? Consider the examples set by </w:t>
      </w:r>
      <w:hyperlink r:id="rId8" w:history="1">
        <w:r w:rsidRPr="00754875">
          <w:rPr>
            <w:rFonts w:ascii="Times New Roman" w:eastAsia="Times New Roman" w:hAnsi="Times New Roman" w:cs="Times New Roman"/>
            <w:color w:val="000000" w:themeColor="text1"/>
            <w:szCs w:val="24"/>
          </w:rPr>
          <w:t>Long Term Capital Management</w:t>
        </w:r>
      </w:hyperlink>
      <w:r w:rsidRPr="00754875">
        <w:rPr>
          <w:rFonts w:ascii="Times New Roman" w:eastAsia="Times New Roman" w:hAnsi="Times New Roman" w:cs="Times New Roman"/>
          <w:color w:val="000000" w:themeColor="text1"/>
          <w:szCs w:val="24"/>
        </w:rPr>
        <w:t>, </w:t>
      </w:r>
      <w:hyperlink r:id="rId9" w:history="1">
        <w:r w:rsidRPr="00754875">
          <w:rPr>
            <w:rFonts w:ascii="Times New Roman" w:eastAsia="Times New Roman" w:hAnsi="Times New Roman" w:cs="Times New Roman"/>
            <w:color w:val="000000" w:themeColor="text1"/>
            <w:szCs w:val="24"/>
          </w:rPr>
          <w:t>Orange County</w:t>
        </w:r>
      </w:hyperlink>
      <w:r w:rsidRPr="00754875">
        <w:rPr>
          <w:rFonts w:ascii="Times New Roman" w:eastAsia="Times New Roman" w:hAnsi="Times New Roman" w:cs="Times New Roman"/>
          <w:color w:val="000000" w:themeColor="text1"/>
          <w:szCs w:val="24"/>
        </w:rPr>
        <w:t>, or </w:t>
      </w:r>
      <w:hyperlink r:id="rId10" w:history="1">
        <w:r w:rsidRPr="00754875">
          <w:rPr>
            <w:rFonts w:ascii="Times New Roman" w:eastAsia="Times New Roman" w:hAnsi="Times New Roman" w:cs="Times New Roman"/>
            <w:color w:val="000000" w:themeColor="text1"/>
            <w:szCs w:val="24"/>
          </w:rPr>
          <w:t>Bernie Madoff</w:t>
        </w:r>
      </w:hyperlink>
      <w:r w:rsidRPr="00754875">
        <w:rPr>
          <w:rFonts w:ascii="Times New Roman" w:eastAsia="Times New Roman" w:hAnsi="Times New Roman" w:cs="Times New Roman"/>
          <w:color w:val="000000" w:themeColor="text1"/>
          <w:szCs w:val="24"/>
        </w:rPr>
        <w:t> and you might feel differently. In all of these cases, experts (i.e. Nobel Prize winners, experienced financiers, etc.) used their </w:t>
      </w:r>
      <w:r w:rsidRPr="00754875">
        <w:rPr>
          <w:rFonts w:ascii="Times New Roman" w:eastAsia="Times New Roman" w:hAnsi="Times New Roman" w:cs="Times New Roman"/>
          <w:i/>
          <w:iCs/>
          <w:color w:val="000000" w:themeColor="text1"/>
          <w:szCs w:val="24"/>
        </w:rPr>
        <w:t>authority</w:t>
      </w:r>
      <w:r w:rsidRPr="00754875">
        <w:rPr>
          <w:rFonts w:ascii="Times New Roman" w:eastAsia="Times New Roman" w:hAnsi="Times New Roman" w:cs="Times New Roman"/>
          <w:color w:val="000000" w:themeColor="text1"/>
          <w:szCs w:val="24"/>
        </w:rPr>
        <w:t> to convince investors to give them money before eventually losing it all.</w:t>
      </w:r>
    </w:p>
    <w:p w:rsidR="00754875" w:rsidRPr="00754875" w:rsidRDefault="00754875" w:rsidP="00754875">
      <w:pPr>
        <w:jc w:val="left"/>
        <w:rPr>
          <w:rFonts w:ascii="Times New Roman" w:eastAsia="Times New Roman" w:hAnsi="Times New Roman" w:cs="Times New Roman"/>
          <w:color w:val="000000" w:themeColor="text1"/>
          <w:sz w:val="10"/>
          <w:szCs w:val="10"/>
        </w:rPr>
      </w:pPr>
    </w:p>
    <w:p w:rsidR="00754875" w:rsidRPr="00754875" w:rsidRDefault="00754875" w:rsidP="00754875">
      <w:pPr>
        <w:jc w:val="left"/>
        <w:rPr>
          <w:rFonts w:ascii="Times New Roman" w:eastAsia="Times New Roman" w:hAnsi="Times New Roman" w:cs="Times New Roman"/>
          <w:szCs w:val="24"/>
        </w:rPr>
      </w:pPr>
      <w:r w:rsidRPr="00754875">
        <w:rPr>
          <w:rFonts w:ascii="Times New Roman" w:eastAsia="Times New Roman" w:hAnsi="Times New Roman" w:cs="Times New Roman"/>
          <w:color w:val="000000" w:themeColor="text1"/>
          <w:szCs w:val="24"/>
        </w:rPr>
        <w:t>Authority bias is so powerful because it can drive people to behave in ways that are at odds with reason. The famous </w:t>
      </w:r>
      <w:hyperlink r:id="rId11" w:history="1">
        <w:r w:rsidRPr="00754875">
          <w:rPr>
            <w:rFonts w:ascii="Times New Roman" w:eastAsia="Times New Roman" w:hAnsi="Times New Roman" w:cs="Times New Roman"/>
            <w:color w:val="000000" w:themeColor="text1"/>
            <w:szCs w:val="24"/>
          </w:rPr>
          <w:t>Milgram experiment</w:t>
        </w:r>
      </w:hyperlink>
      <w:r w:rsidRPr="00754875">
        <w:rPr>
          <w:rFonts w:ascii="Times New Roman" w:eastAsia="Times New Roman" w:hAnsi="Times New Roman" w:cs="Times New Roman"/>
          <w:color w:val="000000" w:themeColor="text1"/>
          <w:szCs w:val="24"/>
        </w:rPr>
        <w:t>, where individuals were told to shock patients with higher and higher doses of electricity, illustrates this well. The punchline of the experiment was that 65</w:t>
      </w:r>
      <w:r w:rsidRPr="00754875">
        <w:rPr>
          <w:rFonts w:ascii="Times New Roman" w:eastAsia="Times New Roman" w:hAnsi="Times New Roman" w:cs="Times New Roman"/>
          <w:szCs w:val="24"/>
        </w:rPr>
        <w:t>% of individuals ended up delivering the maximum electrical dosage to their “patients” (they were actors) though all of them had concerns about doing so.</w:t>
      </w:r>
    </w:p>
    <w:p w:rsidR="00754875" w:rsidRPr="00754875" w:rsidRDefault="00754875" w:rsidP="00754875">
      <w:pPr>
        <w:jc w:val="left"/>
        <w:rPr>
          <w:rFonts w:ascii="Times New Roman" w:eastAsia="Times New Roman" w:hAnsi="Times New Roman" w:cs="Times New Roman"/>
          <w:sz w:val="10"/>
          <w:szCs w:val="10"/>
        </w:rPr>
      </w:pPr>
    </w:p>
    <w:p w:rsidR="00754875" w:rsidRPr="00754875" w:rsidRDefault="00754875" w:rsidP="00754875">
      <w:pPr>
        <w:jc w:val="left"/>
        <w:rPr>
          <w:rFonts w:ascii="Times New Roman" w:eastAsia="Times New Roman" w:hAnsi="Times New Roman" w:cs="Times New Roman"/>
          <w:szCs w:val="24"/>
        </w:rPr>
      </w:pPr>
      <w:r w:rsidRPr="00754875">
        <w:rPr>
          <w:rFonts w:ascii="Times New Roman" w:eastAsia="Times New Roman" w:hAnsi="Times New Roman" w:cs="Times New Roman"/>
          <w:szCs w:val="24"/>
        </w:rPr>
        <w:t>If authority bias can make you administer lethal doses of electricity to people, imagine what kind of havoc you could get into when you trust someone else with your money? Don’t get me wrong, expertise is not a bad thing. But if their investment strategy hinges heavily on “Trust me, I am an expert,” run for the hills.</w:t>
      </w:r>
    </w:p>
    <w:p w:rsidR="00754875" w:rsidRPr="00754875" w:rsidRDefault="00754875" w:rsidP="00754875">
      <w:pPr>
        <w:spacing w:before="240" w:after="150" w:line="240" w:lineRule="atLeast"/>
        <w:jc w:val="left"/>
        <w:outlineLvl w:val="2"/>
        <w:rPr>
          <w:rFonts w:ascii="Georgia" w:eastAsia="Times New Roman" w:hAnsi="Georgia" w:cs="Times New Roman"/>
          <w:b/>
          <w:bCs/>
          <w:color w:val="585858"/>
          <w:sz w:val="36"/>
          <w:szCs w:val="36"/>
        </w:rPr>
      </w:pPr>
      <w:r w:rsidRPr="00754875">
        <w:rPr>
          <w:rFonts w:ascii="Georgia" w:eastAsia="Times New Roman" w:hAnsi="Georgia" w:cs="Times New Roman"/>
          <w:b/>
          <w:bCs/>
          <w:color w:val="000000"/>
          <w:sz w:val="40"/>
          <w:szCs w:val="40"/>
        </w:rPr>
        <w:t>2. Commitment and Consistency</w:t>
      </w:r>
    </w:p>
    <w:p w:rsidR="00754875" w:rsidRPr="00754875" w:rsidRDefault="00754875" w:rsidP="00754875">
      <w:pPr>
        <w:jc w:val="left"/>
        <w:rPr>
          <w:rFonts w:ascii="Times New Roman" w:eastAsia="Times New Roman" w:hAnsi="Times New Roman" w:cs="Times New Roman"/>
          <w:i/>
          <w:iCs/>
          <w:sz w:val="24"/>
          <w:szCs w:val="24"/>
        </w:rPr>
      </w:pPr>
      <w:r w:rsidRPr="00754875">
        <w:rPr>
          <w:rFonts w:ascii="Times New Roman" w:eastAsia="Times New Roman" w:hAnsi="Times New Roman" w:cs="Times New Roman"/>
          <w:i/>
          <w:iCs/>
          <w:sz w:val="24"/>
          <w:szCs w:val="24"/>
        </w:rPr>
        <w:t>Just say yes.</w:t>
      </w:r>
    </w:p>
    <w:p w:rsidR="00754875" w:rsidRPr="00754875" w:rsidRDefault="00754875" w:rsidP="00754875">
      <w:pPr>
        <w:jc w:val="left"/>
        <w:rPr>
          <w:rFonts w:ascii="Times New Roman" w:eastAsia="Times New Roman" w:hAnsi="Times New Roman" w:cs="Times New Roman"/>
          <w:szCs w:val="24"/>
        </w:rPr>
      </w:pPr>
      <w:r w:rsidRPr="00754875">
        <w:rPr>
          <w:rFonts w:ascii="Times New Roman" w:eastAsia="Times New Roman" w:hAnsi="Times New Roman" w:cs="Times New Roman"/>
          <w:szCs w:val="24"/>
        </w:rPr>
        <w:t>Do you want to grow wealthy? Do you want to not worry about money again? If I told you that I had the perfect financial product for you, would you like to hear more?</w:t>
      </w:r>
    </w:p>
    <w:p w:rsidR="00754875" w:rsidRPr="00754875" w:rsidRDefault="00754875" w:rsidP="00754875">
      <w:pPr>
        <w:jc w:val="left"/>
        <w:rPr>
          <w:rFonts w:ascii="Times New Roman" w:eastAsia="Times New Roman" w:hAnsi="Times New Roman" w:cs="Times New Roman"/>
          <w:sz w:val="10"/>
          <w:szCs w:val="10"/>
        </w:rPr>
      </w:pPr>
    </w:p>
    <w:p w:rsidR="00754875" w:rsidRPr="00754875" w:rsidRDefault="00754875" w:rsidP="00754875">
      <w:pPr>
        <w:jc w:val="left"/>
        <w:rPr>
          <w:rFonts w:ascii="Times New Roman" w:eastAsia="Times New Roman" w:hAnsi="Times New Roman" w:cs="Times New Roman"/>
          <w:color w:val="000000" w:themeColor="text1"/>
          <w:szCs w:val="24"/>
        </w:rPr>
      </w:pPr>
      <w:r w:rsidRPr="00754875">
        <w:rPr>
          <w:rFonts w:ascii="Times New Roman" w:eastAsia="Times New Roman" w:hAnsi="Times New Roman" w:cs="Times New Roman"/>
          <w:szCs w:val="24"/>
        </w:rPr>
        <w:t xml:space="preserve">The sample line of questioning above can be used </w:t>
      </w:r>
      <w:r w:rsidRPr="00754875">
        <w:rPr>
          <w:rFonts w:ascii="Times New Roman" w:eastAsia="Times New Roman" w:hAnsi="Times New Roman" w:cs="Times New Roman"/>
          <w:color w:val="000000" w:themeColor="text1"/>
          <w:szCs w:val="24"/>
        </w:rPr>
        <w:t>to get people on what I call the “Yes” train. Once you start answering “Yes” repeatedly, the commitment and consistency bias makes it harder to say “No.” The only problem with this bias is that if a financial trickster gets you to say “Yes” to </w:t>
      </w:r>
      <w:hyperlink r:id="rId12" w:history="1">
        <w:r w:rsidRPr="00754875">
          <w:rPr>
            <w:rFonts w:ascii="Times New Roman" w:eastAsia="Times New Roman" w:hAnsi="Times New Roman" w:cs="Times New Roman"/>
            <w:color w:val="000000" w:themeColor="text1"/>
            <w:szCs w:val="24"/>
          </w:rPr>
          <w:t>products with extraordinarily high fees</w:t>
        </w:r>
      </w:hyperlink>
      <w:r w:rsidRPr="00754875">
        <w:rPr>
          <w:rFonts w:ascii="Times New Roman" w:eastAsia="Times New Roman" w:hAnsi="Times New Roman" w:cs="Times New Roman"/>
          <w:color w:val="000000" w:themeColor="text1"/>
          <w:szCs w:val="24"/>
        </w:rPr>
        <w:t>, you can get into trouble.</w:t>
      </w:r>
    </w:p>
    <w:p w:rsidR="00754875" w:rsidRPr="00754875" w:rsidRDefault="00754875" w:rsidP="00754875">
      <w:pPr>
        <w:spacing w:before="240"/>
        <w:jc w:val="left"/>
        <w:rPr>
          <w:rFonts w:ascii="Times New Roman" w:eastAsia="Times New Roman" w:hAnsi="Times New Roman" w:cs="Times New Roman"/>
          <w:sz w:val="24"/>
          <w:szCs w:val="24"/>
        </w:rPr>
      </w:pPr>
      <w:r w:rsidRPr="00754875">
        <w:rPr>
          <w:rFonts w:ascii="Times New Roman" w:eastAsia="Times New Roman" w:hAnsi="Times New Roman" w:cs="Times New Roman"/>
          <w:color w:val="000000" w:themeColor="text1"/>
          <w:szCs w:val="24"/>
        </w:rPr>
        <w:lastRenderedPageBreak/>
        <w:t>Lastly, commitment and consistency bias is also present when investors sell their winners while holding onto their losers in what is known as </w:t>
      </w:r>
      <w:hyperlink r:id="rId13" w:history="1">
        <w:r w:rsidRPr="00754875">
          <w:rPr>
            <w:rFonts w:ascii="Times New Roman" w:eastAsia="Times New Roman" w:hAnsi="Times New Roman" w:cs="Times New Roman"/>
            <w:color w:val="000000" w:themeColor="text1"/>
            <w:szCs w:val="24"/>
          </w:rPr>
          <w:t>the disposition effect</w:t>
        </w:r>
      </w:hyperlink>
      <w:r w:rsidRPr="00754875">
        <w:rPr>
          <w:rFonts w:ascii="Times New Roman" w:eastAsia="Times New Roman" w:hAnsi="Times New Roman" w:cs="Times New Roman"/>
          <w:color w:val="000000" w:themeColor="text1"/>
          <w:szCs w:val="24"/>
        </w:rPr>
        <w:t xml:space="preserve">. Once someone has committed to a particular position, it can be difficult for them to exit that position, especially at a loss. Remember this as you make financial decisions in the future. Are you holding onto a losing asset because of commitment and consistency, or do you have other reasons that make you believe it will recover in </w:t>
      </w:r>
      <w:r w:rsidRPr="00754875">
        <w:rPr>
          <w:rFonts w:ascii="Times New Roman" w:eastAsia="Times New Roman" w:hAnsi="Times New Roman" w:cs="Times New Roman"/>
          <w:szCs w:val="24"/>
        </w:rPr>
        <w:t>value?</w:t>
      </w:r>
    </w:p>
    <w:p w:rsidR="00754875" w:rsidRPr="00754875" w:rsidRDefault="00754875" w:rsidP="00754875">
      <w:pPr>
        <w:spacing w:before="240" w:after="150" w:line="240" w:lineRule="atLeast"/>
        <w:jc w:val="left"/>
        <w:outlineLvl w:val="2"/>
        <w:rPr>
          <w:rFonts w:ascii="Georgia" w:eastAsia="Times New Roman" w:hAnsi="Georgia" w:cs="Times New Roman"/>
          <w:b/>
          <w:bCs/>
          <w:color w:val="585858"/>
          <w:sz w:val="36"/>
          <w:szCs w:val="36"/>
        </w:rPr>
      </w:pPr>
      <w:r w:rsidRPr="00754875">
        <w:rPr>
          <w:rFonts w:ascii="Georgia" w:eastAsia="Times New Roman" w:hAnsi="Georgia" w:cs="Times New Roman"/>
          <w:b/>
          <w:bCs/>
          <w:color w:val="000000"/>
          <w:sz w:val="40"/>
          <w:szCs w:val="40"/>
        </w:rPr>
        <w:t>3. Social Proof</w:t>
      </w:r>
    </w:p>
    <w:p w:rsidR="00754875" w:rsidRPr="00754875" w:rsidRDefault="00754875" w:rsidP="00754875">
      <w:pPr>
        <w:jc w:val="left"/>
        <w:rPr>
          <w:rFonts w:ascii="Times New Roman" w:eastAsia="Times New Roman" w:hAnsi="Times New Roman" w:cs="Times New Roman"/>
          <w:i/>
          <w:iCs/>
          <w:sz w:val="24"/>
          <w:szCs w:val="24"/>
        </w:rPr>
      </w:pPr>
      <w:r w:rsidRPr="00754875">
        <w:rPr>
          <w:rFonts w:ascii="Times New Roman" w:eastAsia="Times New Roman" w:hAnsi="Times New Roman" w:cs="Times New Roman"/>
          <w:i/>
          <w:iCs/>
          <w:sz w:val="24"/>
          <w:szCs w:val="24"/>
        </w:rPr>
        <w:t>Everyone else is doing it.</w:t>
      </w:r>
    </w:p>
    <w:p w:rsidR="00754875" w:rsidRPr="00754875" w:rsidRDefault="00754875" w:rsidP="00754875">
      <w:pPr>
        <w:jc w:val="left"/>
        <w:rPr>
          <w:rFonts w:ascii="Times New Roman" w:eastAsia="Times New Roman" w:hAnsi="Times New Roman" w:cs="Times New Roman"/>
          <w:color w:val="000000" w:themeColor="text1"/>
          <w:szCs w:val="24"/>
        </w:rPr>
      </w:pPr>
      <w:r w:rsidRPr="00754875">
        <w:rPr>
          <w:rFonts w:ascii="Times New Roman" w:eastAsia="Times New Roman" w:hAnsi="Times New Roman" w:cs="Times New Roman"/>
          <w:color w:val="000000" w:themeColor="text1"/>
          <w:szCs w:val="24"/>
        </w:rPr>
        <w:t>Whether it be </w:t>
      </w:r>
      <w:hyperlink r:id="rId14" w:history="1">
        <w:r w:rsidRPr="00754875">
          <w:rPr>
            <w:rFonts w:ascii="Times New Roman" w:eastAsia="Times New Roman" w:hAnsi="Times New Roman" w:cs="Times New Roman"/>
            <w:color w:val="000000" w:themeColor="text1"/>
            <w:szCs w:val="24"/>
          </w:rPr>
          <w:t>performance chasing</w:t>
        </w:r>
      </w:hyperlink>
      <w:r w:rsidRPr="00754875">
        <w:rPr>
          <w:rFonts w:ascii="Times New Roman" w:eastAsia="Times New Roman" w:hAnsi="Times New Roman" w:cs="Times New Roman"/>
          <w:color w:val="000000" w:themeColor="text1"/>
          <w:szCs w:val="24"/>
        </w:rPr>
        <w:t> or buying into the hottest, newest asset class in the market (crypto anyone?), seeing others follow a particular investment strategy can have a large effect as to whether you will follow suit. While following the crowd can have </w:t>
      </w:r>
      <w:hyperlink r:id="rId15" w:tgtFrame="_blank" w:history="1">
        <w:r w:rsidRPr="00754875">
          <w:rPr>
            <w:rFonts w:ascii="Times New Roman" w:eastAsia="Times New Roman" w:hAnsi="Times New Roman" w:cs="Times New Roman"/>
            <w:color w:val="000000" w:themeColor="text1"/>
            <w:szCs w:val="24"/>
          </w:rPr>
          <w:t>its benefits</w:t>
        </w:r>
      </w:hyperlink>
      <w:r w:rsidRPr="00754875">
        <w:rPr>
          <w:rFonts w:ascii="Times New Roman" w:eastAsia="Times New Roman" w:hAnsi="Times New Roman" w:cs="Times New Roman"/>
          <w:color w:val="000000" w:themeColor="text1"/>
          <w:szCs w:val="24"/>
        </w:rPr>
        <w:t>, there are also </w:t>
      </w:r>
      <w:hyperlink r:id="rId16" w:tgtFrame="_blank" w:history="1">
        <w:r w:rsidRPr="00754875">
          <w:rPr>
            <w:rFonts w:ascii="Times New Roman" w:eastAsia="Times New Roman" w:hAnsi="Times New Roman" w:cs="Times New Roman"/>
            <w:color w:val="000000" w:themeColor="text1"/>
            <w:szCs w:val="24"/>
          </w:rPr>
          <w:t>dangers to look out for</w:t>
        </w:r>
      </w:hyperlink>
      <w:r w:rsidRPr="00754875">
        <w:rPr>
          <w:rFonts w:ascii="Times New Roman" w:eastAsia="Times New Roman" w:hAnsi="Times New Roman" w:cs="Times New Roman"/>
          <w:color w:val="000000" w:themeColor="text1"/>
          <w:szCs w:val="24"/>
        </w:rPr>
        <w:t>.</w:t>
      </w:r>
    </w:p>
    <w:p w:rsidR="00754875" w:rsidRPr="00754875" w:rsidRDefault="00754875" w:rsidP="00754875">
      <w:pPr>
        <w:jc w:val="left"/>
        <w:rPr>
          <w:rFonts w:ascii="Times New Roman" w:eastAsia="Times New Roman" w:hAnsi="Times New Roman" w:cs="Times New Roman"/>
          <w:color w:val="000000" w:themeColor="text1"/>
          <w:sz w:val="10"/>
          <w:szCs w:val="10"/>
        </w:rPr>
      </w:pPr>
    </w:p>
    <w:p w:rsidR="00754875" w:rsidRPr="00754875" w:rsidRDefault="00754875" w:rsidP="00754875">
      <w:pPr>
        <w:jc w:val="left"/>
        <w:rPr>
          <w:rFonts w:ascii="Times New Roman" w:eastAsia="Times New Roman" w:hAnsi="Times New Roman" w:cs="Times New Roman"/>
          <w:color w:val="000000" w:themeColor="text1"/>
          <w:szCs w:val="24"/>
        </w:rPr>
      </w:pPr>
      <w:r w:rsidRPr="00754875">
        <w:rPr>
          <w:rFonts w:ascii="Times New Roman" w:eastAsia="Times New Roman" w:hAnsi="Times New Roman" w:cs="Times New Roman"/>
          <w:color w:val="000000" w:themeColor="text1"/>
          <w:szCs w:val="24"/>
        </w:rPr>
        <w:t>The biggest problem with social proof in investing is that it contributes to the volatile asset prices that characterize market booms and busts. When investors rush into a particular asset class, prices can move to the point where they are far above their intrinsic value. The crash that eventually follows causes panic selling (more social proof) and can leave many investors empty handed. As a result, you should be wary when your investment decisions rely primarily on social proof as a justification.</w:t>
      </w:r>
    </w:p>
    <w:p w:rsidR="00754875" w:rsidRPr="00754875" w:rsidRDefault="00754875" w:rsidP="00754875">
      <w:pPr>
        <w:spacing w:before="240" w:after="150" w:line="240" w:lineRule="atLeast"/>
        <w:jc w:val="left"/>
        <w:outlineLvl w:val="2"/>
        <w:rPr>
          <w:rFonts w:ascii="Georgia" w:eastAsia="Times New Roman" w:hAnsi="Georgia" w:cs="Times New Roman"/>
          <w:b/>
          <w:bCs/>
          <w:color w:val="585858"/>
          <w:sz w:val="36"/>
          <w:szCs w:val="36"/>
        </w:rPr>
      </w:pPr>
      <w:r w:rsidRPr="00754875">
        <w:rPr>
          <w:rFonts w:ascii="Georgia" w:eastAsia="Times New Roman" w:hAnsi="Georgia" w:cs="Times New Roman"/>
          <w:b/>
          <w:bCs/>
          <w:color w:val="000000"/>
          <w:sz w:val="40"/>
          <w:szCs w:val="40"/>
        </w:rPr>
        <w:t>4. Reciprocity</w:t>
      </w:r>
    </w:p>
    <w:p w:rsidR="00754875" w:rsidRPr="00754875" w:rsidRDefault="00754875" w:rsidP="00754875">
      <w:pPr>
        <w:jc w:val="left"/>
        <w:rPr>
          <w:rFonts w:ascii="Times New Roman" w:eastAsia="Times New Roman" w:hAnsi="Times New Roman" w:cs="Times New Roman"/>
          <w:i/>
          <w:iCs/>
          <w:sz w:val="24"/>
          <w:szCs w:val="24"/>
        </w:rPr>
      </w:pPr>
      <w:proofErr w:type="gramStart"/>
      <w:r w:rsidRPr="00754875">
        <w:rPr>
          <w:rFonts w:ascii="Times New Roman" w:eastAsia="Times New Roman" w:hAnsi="Times New Roman" w:cs="Times New Roman"/>
          <w:i/>
          <w:iCs/>
          <w:sz w:val="24"/>
          <w:szCs w:val="24"/>
        </w:rPr>
        <w:t>An eye for an eye.</w:t>
      </w:r>
      <w:proofErr w:type="gramEnd"/>
    </w:p>
    <w:p w:rsidR="00754875" w:rsidRPr="00754875" w:rsidRDefault="00754875" w:rsidP="00754875">
      <w:pPr>
        <w:jc w:val="left"/>
        <w:rPr>
          <w:rFonts w:ascii="Times New Roman" w:eastAsia="Times New Roman" w:hAnsi="Times New Roman" w:cs="Times New Roman"/>
          <w:color w:val="000000" w:themeColor="text1"/>
          <w:szCs w:val="24"/>
        </w:rPr>
      </w:pPr>
      <w:r w:rsidRPr="00754875">
        <w:rPr>
          <w:rFonts w:ascii="Times New Roman" w:eastAsia="Times New Roman" w:hAnsi="Times New Roman" w:cs="Times New Roman"/>
          <w:color w:val="000000" w:themeColor="text1"/>
          <w:szCs w:val="24"/>
        </w:rPr>
        <w:t>When someone does you a favor, you have this deep feeling like you need to repay them, don’t you? This is reciprocity bias (i.e. </w:t>
      </w:r>
      <w:hyperlink r:id="rId17" w:history="1">
        <w:r w:rsidRPr="00754875">
          <w:rPr>
            <w:rFonts w:ascii="Times New Roman" w:eastAsia="Times New Roman" w:hAnsi="Times New Roman" w:cs="Times New Roman"/>
            <w:color w:val="000000" w:themeColor="text1"/>
            <w:szCs w:val="24"/>
          </w:rPr>
          <w:t>tit for tat</w:t>
        </w:r>
      </w:hyperlink>
      <w:r w:rsidRPr="00754875">
        <w:rPr>
          <w:rFonts w:ascii="Times New Roman" w:eastAsia="Times New Roman" w:hAnsi="Times New Roman" w:cs="Times New Roman"/>
          <w:color w:val="000000" w:themeColor="text1"/>
          <w:szCs w:val="24"/>
        </w:rPr>
        <w:t>) and it is probably the most difficult of the 6 ways of influence to completely ignore. Why? It feels so unnatural to </w:t>
      </w:r>
      <w:r w:rsidRPr="00754875">
        <w:rPr>
          <w:rFonts w:ascii="Times New Roman" w:eastAsia="Times New Roman" w:hAnsi="Times New Roman" w:cs="Times New Roman"/>
          <w:i/>
          <w:iCs/>
          <w:color w:val="000000" w:themeColor="text1"/>
          <w:szCs w:val="24"/>
        </w:rPr>
        <w:t>not</w:t>
      </w:r>
      <w:r w:rsidRPr="00754875">
        <w:rPr>
          <w:rFonts w:ascii="Times New Roman" w:eastAsia="Times New Roman" w:hAnsi="Times New Roman" w:cs="Times New Roman"/>
          <w:color w:val="000000" w:themeColor="text1"/>
          <w:szCs w:val="24"/>
        </w:rPr>
        <w:t> help someone that has helped you. Ignoring that feeling of reciprocity would have probably gotten you eliminated from the gene pool historically, so we have a strong urge to uphold it.</w:t>
      </w:r>
    </w:p>
    <w:p w:rsidR="00754875" w:rsidRPr="00754875" w:rsidRDefault="00754875" w:rsidP="00754875">
      <w:pPr>
        <w:jc w:val="left"/>
        <w:rPr>
          <w:rFonts w:ascii="Times New Roman" w:eastAsia="Times New Roman" w:hAnsi="Times New Roman" w:cs="Times New Roman"/>
          <w:color w:val="000000" w:themeColor="text1"/>
          <w:szCs w:val="24"/>
        </w:rPr>
      </w:pPr>
      <w:r w:rsidRPr="00754875">
        <w:rPr>
          <w:rFonts w:ascii="Times New Roman" w:eastAsia="Times New Roman" w:hAnsi="Times New Roman" w:cs="Times New Roman"/>
          <w:color w:val="000000" w:themeColor="text1"/>
          <w:szCs w:val="24"/>
        </w:rPr>
        <w:t>However, financial tricksters can use reciprocity bias to get you to buy their products even though they know they won’t be in your best interest. Complimentary financial plans or investment presentations are a few ways in which you can be made to feel like you need to reciprocate. Before you do though, ask yourself: “Is this product/service in my best interest, or am I just paying back a favor?”</w:t>
      </w:r>
    </w:p>
    <w:p w:rsidR="00754875" w:rsidRPr="00754875" w:rsidRDefault="00754875" w:rsidP="00754875">
      <w:pPr>
        <w:spacing w:before="240" w:after="150" w:line="240" w:lineRule="atLeast"/>
        <w:jc w:val="left"/>
        <w:outlineLvl w:val="2"/>
        <w:rPr>
          <w:rFonts w:ascii="Georgia" w:eastAsia="Times New Roman" w:hAnsi="Georgia" w:cs="Times New Roman"/>
          <w:b/>
          <w:bCs/>
          <w:color w:val="585858"/>
          <w:sz w:val="36"/>
          <w:szCs w:val="36"/>
        </w:rPr>
      </w:pPr>
      <w:r w:rsidRPr="00754875">
        <w:rPr>
          <w:rFonts w:ascii="Georgia" w:eastAsia="Times New Roman" w:hAnsi="Georgia" w:cs="Times New Roman"/>
          <w:b/>
          <w:bCs/>
          <w:color w:val="000000"/>
          <w:sz w:val="40"/>
          <w:szCs w:val="40"/>
        </w:rPr>
        <w:t>5. Liking</w:t>
      </w:r>
    </w:p>
    <w:p w:rsidR="00754875" w:rsidRPr="00754875" w:rsidRDefault="00754875" w:rsidP="00754875">
      <w:pPr>
        <w:jc w:val="left"/>
        <w:rPr>
          <w:rFonts w:ascii="Times New Roman" w:eastAsia="Times New Roman" w:hAnsi="Times New Roman" w:cs="Times New Roman"/>
          <w:i/>
          <w:iCs/>
          <w:sz w:val="24"/>
          <w:szCs w:val="24"/>
        </w:rPr>
      </w:pPr>
      <w:r w:rsidRPr="00754875">
        <w:rPr>
          <w:rFonts w:ascii="Times New Roman" w:eastAsia="Times New Roman" w:hAnsi="Times New Roman" w:cs="Times New Roman"/>
          <w:i/>
          <w:iCs/>
          <w:sz w:val="24"/>
          <w:szCs w:val="24"/>
        </w:rPr>
        <w:t>You like me. You really, really like me.</w:t>
      </w:r>
    </w:p>
    <w:p w:rsidR="00754875" w:rsidRDefault="00754875" w:rsidP="00754875">
      <w:pPr>
        <w:jc w:val="left"/>
        <w:rPr>
          <w:rFonts w:ascii="Times New Roman" w:eastAsia="Times New Roman" w:hAnsi="Times New Roman" w:cs="Times New Roman"/>
          <w:color w:val="000000" w:themeColor="text1"/>
          <w:szCs w:val="24"/>
        </w:rPr>
      </w:pPr>
      <w:r w:rsidRPr="00754875">
        <w:rPr>
          <w:rFonts w:ascii="Times New Roman" w:eastAsia="Times New Roman" w:hAnsi="Times New Roman" w:cs="Times New Roman"/>
          <w:color w:val="000000" w:themeColor="text1"/>
          <w:szCs w:val="24"/>
        </w:rPr>
        <w:t>You already know that people would rather do business with people they like than people they don’t like. However, you should realize that there are methods that people use to get you to like them. Many of these methods are sold in self-help books such as Dale Carnegie’s </w:t>
      </w:r>
      <w:hyperlink r:id="rId18" w:history="1">
        <w:r w:rsidRPr="00754875">
          <w:rPr>
            <w:rFonts w:ascii="Times New Roman" w:eastAsia="Times New Roman" w:hAnsi="Times New Roman" w:cs="Times New Roman"/>
            <w:color w:val="000000" w:themeColor="text1"/>
            <w:szCs w:val="24"/>
          </w:rPr>
          <w:t>How to Win Friends and Influence People</w:t>
        </w:r>
      </w:hyperlink>
      <w:r w:rsidRPr="00754875">
        <w:rPr>
          <w:rFonts w:ascii="Times New Roman" w:eastAsia="Times New Roman" w:hAnsi="Times New Roman" w:cs="Times New Roman"/>
          <w:color w:val="000000" w:themeColor="text1"/>
          <w:szCs w:val="24"/>
        </w:rPr>
        <w:t>. There is nothing wrong with using these tactics, but it is important to remember that these methods can influence how you make decisions.</w:t>
      </w:r>
    </w:p>
    <w:p w:rsidR="00754875" w:rsidRPr="00754875" w:rsidRDefault="00754875" w:rsidP="00754875">
      <w:pPr>
        <w:jc w:val="left"/>
        <w:rPr>
          <w:rFonts w:ascii="Times New Roman" w:eastAsia="Times New Roman" w:hAnsi="Times New Roman" w:cs="Times New Roman"/>
          <w:color w:val="000000" w:themeColor="text1"/>
          <w:sz w:val="10"/>
          <w:szCs w:val="10"/>
        </w:rPr>
      </w:pPr>
    </w:p>
    <w:p w:rsidR="00754875" w:rsidRPr="00754875" w:rsidRDefault="00754875" w:rsidP="00754875">
      <w:pPr>
        <w:jc w:val="left"/>
        <w:rPr>
          <w:rFonts w:ascii="Times New Roman" w:eastAsia="Times New Roman" w:hAnsi="Times New Roman" w:cs="Times New Roman"/>
          <w:color w:val="000000" w:themeColor="text1"/>
          <w:szCs w:val="24"/>
        </w:rPr>
      </w:pPr>
      <w:r w:rsidRPr="00754875">
        <w:rPr>
          <w:rFonts w:ascii="Times New Roman" w:eastAsia="Times New Roman" w:hAnsi="Times New Roman" w:cs="Times New Roman"/>
          <w:color w:val="000000" w:themeColor="text1"/>
          <w:szCs w:val="24"/>
        </w:rPr>
        <w:t>Don’t get me wrong, liking bias is probably the least harmful of the 6 ways of influence, but that doesn’t mean you should put your guard down because you like someone. If anything, when you like someone, you are probably prone to overlook flaws in their advice.</w:t>
      </w:r>
    </w:p>
    <w:p w:rsidR="00754875" w:rsidRPr="00754875" w:rsidRDefault="00754875" w:rsidP="00754875">
      <w:pPr>
        <w:spacing w:before="240" w:after="150" w:line="240" w:lineRule="atLeast"/>
        <w:jc w:val="left"/>
        <w:outlineLvl w:val="2"/>
        <w:rPr>
          <w:rFonts w:ascii="Georgia" w:eastAsia="Times New Roman" w:hAnsi="Georgia" w:cs="Times New Roman"/>
          <w:b/>
          <w:bCs/>
          <w:color w:val="585858"/>
          <w:sz w:val="36"/>
          <w:szCs w:val="36"/>
        </w:rPr>
      </w:pPr>
      <w:r w:rsidRPr="00754875">
        <w:rPr>
          <w:rFonts w:ascii="Georgia" w:eastAsia="Times New Roman" w:hAnsi="Georgia" w:cs="Times New Roman"/>
          <w:b/>
          <w:bCs/>
          <w:color w:val="000000"/>
          <w:sz w:val="40"/>
          <w:szCs w:val="40"/>
        </w:rPr>
        <w:t>6. Scarcity</w:t>
      </w:r>
    </w:p>
    <w:p w:rsidR="00754875" w:rsidRPr="00754875" w:rsidRDefault="00754875" w:rsidP="00754875">
      <w:pPr>
        <w:jc w:val="left"/>
        <w:rPr>
          <w:rFonts w:ascii="Times New Roman" w:eastAsia="Times New Roman" w:hAnsi="Times New Roman" w:cs="Times New Roman"/>
          <w:i/>
          <w:iCs/>
          <w:sz w:val="24"/>
          <w:szCs w:val="24"/>
        </w:rPr>
      </w:pPr>
      <w:proofErr w:type="gramStart"/>
      <w:r w:rsidRPr="00754875">
        <w:rPr>
          <w:rFonts w:ascii="Times New Roman" w:eastAsia="Times New Roman" w:hAnsi="Times New Roman" w:cs="Times New Roman"/>
          <w:i/>
          <w:iCs/>
          <w:sz w:val="24"/>
          <w:szCs w:val="24"/>
        </w:rPr>
        <w:t>While supplies last.</w:t>
      </w:r>
      <w:proofErr w:type="gramEnd"/>
    </w:p>
    <w:p w:rsidR="00754875" w:rsidRDefault="00754875" w:rsidP="00754875">
      <w:pPr>
        <w:jc w:val="left"/>
        <w:rPr>
          <w:rFonts w:ascii="Times New Roman" w:eastAsia="Times New Roman" w:hAnsi="Times New Roman" w:cs="Times New Roman"/>
          <w:color w:val="000000" w:themeColor="text1"/>
          <w:szCs w:val="24"/>
        </w:rPr>
      </w:pPr>
      <w:r w:rsidRPr="00754875">
        <w:rPr>
          <w:rFonts w:ascii="Times New Roman" w:eastAsia="Times New Roman" w:hAnsi="Times New Roman" w:cs="Times New Roman"/>
          <w:color w:val="000000" w:themeColor="text1"/>
          <w:szCs w:val="24"/>
        </w:rPr>
        <w:t xml:space="preserve">Scarcity can play all sorts of tricks on you as an investor because it can force you to make decisions under time pressure. When making decisions quickly, you are far more likely to rely on the emotional part of your brain (i.e. System 1) than the analytical part (i.e. System 2). This idea comes from Daniel </w:t>
      </w:r>
      <w:proofErr w:type="spellStart"/>
      <w:r w:rsidRPr="00754875">
        <w:rPr>
          <w:rFonts w:ascii="Times New Roman" w:eastAsia="Times New Roman" w:hAnsi="Times New Roman" w:cs="Times New Roman"/>
          <w:color w:val="000000" w:themeColor="text1"/>
          <w:szCs w:val="24"/>
        </w:rPr>
        <w:t>Kahneman’s</w:t>
      </w:r>
      <w:proofErr w:type="spellEnd"/>
      <w:r w:rsidRPr="00754875">
        <w:rPr>
          <w:rFonts w:ascii="Times New Roman" w:eastAsia="Times New Roman" w:hAnsi="Times New Roman" w:cs="Times New Roman"/>
          <w:color w:val="000000" w:themeColor="text1"/>
          <w:szCs w:val="24"/>
        </w:rPr>
        <w:t> </w:t>
      </w:r>
      <w:hyperlink r:id="rId19" w:history="1">
        <w:r w:rsidRPr="00754875">
          <w:rPr>
            <w:rFonts w:ascii="Times New Roman" w:eastAsia="Times New Roman" w:hAnsi="Times New Roman" w:cs="Times New Roman"/>
            <w:color w:val="000000" w:themeColor="text1"/>
            <w:szCs w:val="24"/>
          </w:rPr>
          <w:t>Thinking Fast and Slow</w:t>
        </w:r>
      </w:hyperlink>
      <w:r w:rsidRPr="00754875">
        <w:rPr>
          <w:rFonts w:ascii="Times New Roman" w:eastAsia="Times New Roman" w:hAnsi="Times New Roman" w:cs="Times New Roman"/>
          <w:color w:val="000000" w:themeColor="text1"/>
          <w:szCs w:val="24"/>
        </w:rPr>
        <w:t>, but perfectly illustrates how scarcity can wreak havoc on your decisions as an investor.</w:t>
      </w:r>
    </w:p>
    <w:p w:rsidR="00754875" w:rsidRPr="00754875" w:rsidRDefault="00754875" w:rsidP="00754875">
      <w:pPr>
        <w:jc w:val="left"/>
        <w:rPr>
          <w:rFonts w:ascii="Times New Roman" w:eastAsia="Times New Roman" w:hAnsi="Times New Roman" w:cs="Times New Roman"/>
          <w:color w:val="000000" w:themeColor="text1"/>
          <w:sz w:val="10"/>
          <w:szCs w:val="10"/>
        </w:rPr>
      </w:pPr>
    </w:p>
    <w:p w:rsidR="00754875" w:rsidRDefault="00754875" w:rsidP="00754875">
      <w:pPr>
        <w:jc w:val="left"/>
        <w:rPr>
          <w:rFonts w:ascii="Times New Roman" w:eastAsia="Times New Roman" w:hAnsi="Times New Roman" w:cs="Times New Roman"/>
          <w:color w:val="000000" w:themeColor="text1"/>
          <w:szCs w:val="24"/>
        </w:rPr>
      </w:pPr>
      <w:r w:rsidRPr="00754875">
        <w:rPr>
          <w:rFonts w:ascii="Times New Roman" w:eastAsia="Times New Roman" w:hAnsi="Times New Roman" w:cs="Times New Roman"/>
          <w:color w:val="000000" w:themeColor="text1"/>
          <w:szCs w:val="24"/>
        </w:rPr>
        <w:t>The other thing that makes scarcity so powerful is that it can make you feel special as an investor. Anyone can buy Vanguard’s S&amp;P 500 fund, but who can get access to this elite hedge fund that only charges 1.5% AUM and a 15% performance fee?</w:t>
      </w:r>
    </w:p>
    <w:p w:rsidR="00754875" w:rsidRPr="00754875" w:rsidRDefault="00754875" w:rsidP="00754875">
      <w:pPr>
        <w:jc w:val="left"/>
        <w:rPr>
          <w:rFonts w:ascii="Times New Roman" w:eastAsia="Times New Roman" w:hAnsi="Times New Roman" w:cs="Times New Roman"/>
          <w:color w:val="000000" w:themeColor="text1"/>
          <w:sz w:val="10"/>
          <w:szCs w:val="10"/>
        </w:rPr>
      </w:pPr>
    </w:p>
    <w:p w:rsidR="001A2B5B" w:rsidRPr="00754875" w:rsidRDefault="00754875" w:rsidP="00754875">
      <w:pPr>
        <w:jc w:val="left"/>
        <w:rPr>
          <w:rFonts w:ascii="Times New Roman" w:eastAsia="Times New Roman" w:hAnsi="Times New Roman" w:cs="Times New Roman"/>
          <w:color w:val="000000" w:themeColor="text1"/>
          <w:szCs w:val="24"/>
        </w:rPr>
      </w:pPr>
      <w:r w:rsidRPr="00754875">
        <w:rPr>
          <w:rFonts w:ascii="Times New Roman" w:eastAsia="Times New Roman" w:hAnsi="Times New Roman" w:cs="Times New Roman"/>
          <w:color w:val="000000" w:themeColor="text1"/>
          <w:szCs w:val="24"/>
        </w:rPr>
        <w:t>While I am not implying that everything that is scarce is bad (i.e. some hedge funds are closed to additional funds for a reason), but if the scarcity is artificial, watch out.</w:t>
      </w:r>
    </w:p>
    <w:sectPr w:rsidR="001A2B5B" w:rsidRPr="00754875" w:rsidSect="007548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75"/>
    <w:rsid w:val="001A2B5B"/>
    <w:rsid w:val="004356A9"/>
    <w:rsid w:val="00754875"/>
    <w:rsid w:val="00D4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875"/>
    <w:rPr>
      <w:rFonts w:ascii="Tahoma" w:hAnsi="Tahoma" w:cs="Tahoma"/>
      <w:sz w:val="16"/>
      <w:szCs w:val="16"/>
    </w:rPr>
  </w:style>
  <w:style w:type="character" w:customStyle="1" w:styleId="BalloonTextChar">
    <w:name w:val="Balloon Text Char"/>
    <w:basedOn w:val="DefaultParagraphFont"/>
    <w:link w:val="BalloonText"/>
    <w:uiPriority w:val="99"/>
    <w:semiHidden/>
    <w:rsid w:val="00754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875"/>
    <w:rPr>
      <w:rFonts w:ascii="Tahoma" w:hAnsi="Tahoma" w:cs="Tahoma"/>
      <w:sz w:val="16"/>
      <w:szCs w:val="16"/>
    </w:rPr>
  </w:style>
  <w:style w:type="character" w:customStyle="1" w:styleId="BalloonTextChar">
    <w:name w:val="Balloon Text Char"/>
    <w:basedOn w:val="DefaultParagraphFont"/>
    <w:link w:val="BalloonText"/>
    <w:uiPriority w:val="99"/>
    <w:semiHidden/>
    <w:rsid w:val="00754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276345">
      <w:bodyDiv w:val="1"/>
      <w:marLeft w:val="0"/>
      <w:marRight w:val="0"/>
      <w:marTop w:val="0"/>
      <w:marBottom w:val="0"/>
      <w:divBdr>
        <w:top w:val="none" w:sz="0" w:space="0" w:color="auto"/>
        <w:left w:val="none" w:sz="0" w:space="0" w:color="auto"/>
        <w:bottom w:val="none" w:sz="0" w:space="0" w:color="auto"/>
        <w:right w:val="none" w:sz="0" w:space="0" w:color="auto"/>
      </w:divBdr>
      <w:divsChild>
        <w:div w:id="1838380577">
          <w:marLeft w:val="0"/>
          <w:marRight w:val="0"/>
          <w:marTop w:val="0"/>
          <w:marBottom w:val="0"/>
          <w:divBdr>
            <w:top w:val="none" w:sz="0" w:space="0" w:color="auto"/>
            <w:left w:val="none" w:sz="0" w:space="0" w:color="auto"/>
            <w:bottom w:val="none" w:sz="0" w:space="0" w:color="auto"/>
            <w:right w:val="none" w:sz="0" w:space="0" w:color="auto"/>
          </w:divBdr>
          <w:divsChild>
            <w:div w:id="81534974">
              <w:blockQuote w:val="1"/>
              <w:marLeft w:val="600"/>
              <w:marRight w:val="600"/>
              <w:marTop w:val="240"/>
              <w:marBottom w:val="240"/>
              <w:divBdr>
                <w:top w:val="none" w:sz="0" w:space="0" w:color="auto"/>
                <w:left w:val="single" w:sz="48" w:space="12" w:color="E8ECED"/>
                <w:bottom w:val="none" w:sz="0" w:space="0" w:color="auto"/>
                <w:right w:val="none" w:sz="0" w:space="0" w:color="auto"/>
              </w:divBdr>
            </w:div>
            <w:div w:id="1869759537">
              <w:blockQuote w:val="1"/>
              <w:marLeft w:val="600"/>
              <w:marRight w:val="600"/>
              <w:marTop w:val="240"/>
              <w:marBottom w:val="240"/>
              <w:divBdr>
                <w:top w:val="none" w:sz="0" w:space="0" w:color="auto"/>
                <w:left w:val="single" w:sz="48" w:space="12" w:color="E8ECED"/>
                <w:bottom w:val="none" w:sz="0" w:space="0" w:color="auto"/>
                <w:right w:val="none" w:sz="0" w:space="0" w:color="auto"/>
              </w:divBdr>
            </w:div>
            <w:div w:id="388069737">
              <w:blockQuote w:val="1"/>
              <w:marLeft w:val="600"/>
              <w:marRight w:val="600"/>
              <w:marTop w:val="240"/>
              <w:marBottom w:val="240"/>
              <w:divBdr>
                <w:top w:val="none" w:sz="0" w:space="0" w:color="auto"/>
                <w:left w:val="single" w:sz="48" w:space="12" w:color="E8ECED"/>
                <w:bottom w:val="none" w:sz="0" w:space="0" w:color="auto"/>
                <w:right w:val="none" w:sz="0" w:space="0" w:color="auto"/>
              </w:divBdr>
            </w:div>
            <w:div w:id="1254164457">
              <w:blockQuote w:val="1"/>
              <w:marLeft w:val="600"/>
              <w:marRight w:val="600"/>
              <w:marTop w:val="240"/>
              <w:marBottom w:val="240"/>
              <w:divBdr>
                <w:top w:val="none" w:sz="0" w:space="0" w:color="auto"/>
                <w:left w:val="single" w:sz="48" w:space="12" w:color="E8ECED"/>
                <w:bottom w:val="none" w:sz="0" w:space="0" w:color="auto"/>
                <w:right w:val="none" w:sz="0" w:space="0" w:color="auto"/>
              </w:divBdr>
            </w:div>
            <w:div w:id="197819684">
              <w:blockQuote w:val="1"/>
              <w:marLeft w:val="600"/>
              <w:marRight w:val="600"/>
              <w:marTop w:val="240"/>
              <w:marBottom w:val="240"/>
              <w:divBdr>
                <w:top w:val="none" w:sz="0" w:space="0" w:color="auto"/>
                <w:left w:val="single" w:sz="48" w:space="12" w:color="E8ECED"/>
                <w:bottom w:val="none" w:sz="0" w:space="0" w:color="auto"/>
                <w:right w:val="none" w:sz="0" w:space="0" w:color="auto"/>
              </w:divBdr>
            </w:div>
            <w:div w:id="1764645653">
              <w:blockQuote w:val="1"/>
              <w:marLeft w:val="600"/>
              <w:marRight w:val="600"/>
              <w:marTop w:val="240"/>
              <w:marBottom w:val="240"/>
              <w:divBdr>
                <w:top w:val="none" w:sz="0" w:space="0" w:color="auto"/>
                <w:left w:val="single" w:sz="48" w:space="12" w:color="E8ECED"/>
                <w:bottom w:val="none" w:sz="0" w:space="0" w:color="auto"/>
                <w:right w:val="none" w:sz="0" w:space="0" w:color="auto"/>
              </w:divBdr>
            </w:div>
            <w:div w:id="1565870465">
              <w:blockQuote w:val="1"/>
              <w:marLeft w:val="600"/>
              <w:marRight w:val="600"/>
              <w:marTop w:val="240"/>
              <w:marBottom w:val="240"/>
              <w:divBdr>
                <w:top w:val="none" w:sz="0" w:space="0" w:color="auto"/>
                <w:left w:val="single" w:sz="48" w:space="12" w:color="E8ECED"/>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2pAK223" TargetMode="External"/><Relationship Id="rId13" Type="http://schemas.openxmlformats.org/officeDocument/2006/relationships/hyperlink" Target="https://en.wikipedia.org/wiki/Disposition_effect" TargetMode="External"/><Relationship Id="rId18" Type="http://schemas.openxmlformats.org/officeDocument/2006/relationships/hyperlink" Target="https://amzn.to/2Gt3chQ"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mzn.to/2pxvSQl" TargetMode="External"/><Relationship Id="rId12" Type="http://schemas.openxmlformats.org/officeDocument/2006/relationships/hyperlink" Target="http://theirrelevantinvestor.com/2018/03/26/no-nothing/" TargetMode="External"/><Relationship Id="rId17" Type="http://schemas.openxmlformats.org/officeDocument/2006/relationships/hyperlink" Target="https://en.wikipedia.org/wiki/Tit_for_tat" TargetMode="External"/><Relationship Id="rId2" Type="http://schemas.microsoft.com/office/2007/relationships/stylesWithEffects" Target="stylesWithEffects.xml"/><Relationship Id="rId16" Type="http://schemas.openxmlformats.org/officeDocument/2006/relationships/hyperlink" Target="https://ofdollarsanddata.com/and-the-crowd-goes-wild-858189b424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n.wikipedia.org/wiki/Milgram_experiment" TargetMode="External"/><Relationship Id="rId5" Type="http://schemas.openxmlformats.org/officeDocument/2006/relationships/hyperlink" Target="https://ofdollarsanddata.com/author/nick/" TargetMode="External"/><Relationship Id="rId15" Type="http://schemas.openxmlformats.org/officeDocument/2006/relationships/hyperlink" Target="https://ofdollarsanddata.com/follow-the-money-eb1ae0c9a3bd" TargetMode="External"/><Relationship Id="rId10" Type="http://schemas.openxmlformats.org/officeDocument/2006/relationships/hyperlink" Target="https://amzn.to/2GZi5cx" TargetMode="External"/><Relationship Id="rId19" Type="http://schemas.openxmlformats.org/officeDocument/2006/relationships/hyperlink" Target="https://amzn.to/2Ihk8rO" TargetMode="External"/><Relationship Id="rId4" Type="http://schemas.openxmlformats.org/officeDocument/2006/relationships/webSettings" Target="webSettings.xml"/><Relationship Id="rId9" Type="http://schemas.openxmlformats.org/officeDocument/2006/relationships/hyperlink" Target="https://www.nytimes.com/1994/12/08/business/orange-county-s-bankruptcy-the-overview-orange-county-crisis-jolts-bond-market.html" TargetMode="External"/><Relationship Id="rId14" Type="http://schemas.openxmlformats.org/officeDocument/2006/relationships/hyperlink" Target="https://pressroom.vanguard.com/nonindexed/Quantifying_the_impact_of_chasing_fund_performance_July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 Reed, MEd, LAT, ATC</dc:creator>
  <cp:lastModifiedBy>Cheryl T. Reed, MEd, LAT, ATC</cp:lastModifiedBy>
  <cp:revision>2</cp:revision>
  <dcterms:created xsi:type="dcterms:W3CDTF">2019-09-25T18:01:00Z</dcterms:created>
  <dcterms:modified xsi:type="dcterms:W3CDTF">2019-09-25T18:11:00Z</dcterms:modified>
</cp:coreProperties>
</file>